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46" w:rsidRDefault="00E84E46" w:rsidP="00E84E46">
      <w:pPr>
        <w:adjustRightInd w:val="0"/>
        <w:snapToGrid w:val="0"/>
        <w:rPr>
          <w:b/>
        </w:rPr>
      </w:pPr>
      <w:r w:rsidRPr="00070981">
        <w:rPr>
          <w:b/>
        </w:rPr>
        <w:t>Appendix A.</w:t>
      </w:r>
      <w:r w:rsidRPr="00070981">
        <w:tab/>
      </w:r>
      <w:r w:rsidRPr="00070981">
        <w:rPr>
          <w:b/>
        </w:rPr>
        <w:t xml:space="preserve">Equations of Regional Pressure Drop at Baseline for Patient #1 and #2 </w:t>
      </w:r>
    </w:p>
    <w:p w:rsidR="00E84E46" w:rsidRDefault="00E84E46" w:rsidP="00E84E46">
      <w:pPr>
        <w:adjustRightInd w:val="0"/>
        <w:snapToGrid w:val="0"/>
      </w:pPr>
      <w:r w:rsidRPr="00070981">
        <w:t>There are 12 regional pressure drops: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REC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aortic</w:t>
      </w:r>
      <w:r w:rsidRPr="00070981">
        <w:t xml:space="preserve"> – P</w:t>
      </w:r>
      <w:r w:rsidRPr="00070981">
        <w:rPr>
          <w:vertAlign w:val="subscript"/>
        </w:rPr>
        <w:t>venous</w:t>
      </w:r>
      <w:r w:rsidRPr="00070981">
        <w:t xml:space="preserve"> – Q</w:t>
      </w:r>
      <w:r w:rsidRPr="00070981">
        <w:rPr>
          <w:vertAlign w:val="subscript"/>
        </w:rPr>
        <w:t>RCCA</w:t>
      </w:r>
      <w:r w:rsidRPr="00070981">
        <w:t>R</w:t>
      </w:r>
      <w:r w:rsidRPr="00070981">
        <w:rPr>
          <w:vertAlign w:val="subscript"/>
        </w:rPr>
        <w:t>RCCA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(A1)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ROP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REC</w:t>
      </w:r>
      <w:r w:rsidRPr="00070981">
        <w:rPr>
          <w:vertAlign w:val="superscript"/>
        </w:rPr>
        <w:t>r</w:t>
      </w:r>
      <w:r w:rsidRPr="00070981">
        <w:t xml:space="preserve"> - Q</w:t>
      </w:r>
      <w:r w:rsidRPr="00070981">
        <w:rPr>
          <w:vertAlign w:val="subscript"/>
        </w:rPr>
        <w:t>RICA1</w:t>
      </w:r>
      <w:r w:rsidRPr="00070981">
        <w:t>R</w:t>
      </w:r>
      <w:r w:rsidRPr="00070981">
        <w:rPr>
          <w:vertAlign w:val="subscript"/>
        </w:rPr>
        <w:t>RICA1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(A2)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RMC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ROP</w:t>
      </w:r>
      <w:r w:rsidRPr="00070981">
        <w:rPr>
          <w:vertAlign w:val="superscript"/>
        </w:rPr>
        <w:t>r</w:t>
      </w:r>
      <w:r w:rsidRPr="00070981">
        <w:t xml:space="preserve"> - Q</w:t>
      </w:r>
      <w:r w:rsidRPr="00070981">
        <w:rPr>
          <w:vertAlign w:val="subscript"/>
        </w:rPr>
        <w:t>RICA2</w:t>
      </w:r>
      <w:r w:rsidRPr="00070981">
        <w:t>R</w:t>
      </w:r>
      <w:r w:rsidRPr="00070981">
        <w:rPr>
          <w:vertAlign w:val="subscript"/>
        </w:rPr>
        <w:t>RICA2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(A3)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RAC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RMC</w:t>
      </w:r>
      <w:r w:rsidRPr="00070981">
        <w:rPr>
          <w:vertAlign w:val="superscript"/>
        </w:rPr>
        <w:t>r</w:t>
      </w:r>
      <w:r w:rsidRPr="00070981">
        <w:t xml:space="preserve"> - Q</w:t>
      </w:r>
      <w:r w:rsidRPr="00070981">
        <w:rPr>
          <w:vertAlign w:val="subscript"/>
        </w:rPr>
        <w:t>RACA1</w:t>
      </w:r>
      <w:r w:rsidRPr="00070981">
        <w:t>R</w:t>
      </w:r>
      <w:r w:rsidRPr="00070981">
        <w:rPr>
          <w:vertAlign w:val="subscript"/>
        </w:rPr>
        <w:t>RACA1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(A4)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LAC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RAC</w:t>
      </w:r>
      <w:r w:rsidRPr="00070981">
        <w:rPr>
          <w:vertAlign w:val="superscript"/>
        </w:rPr>
        <w:t>r</w:t>
      </w:r>
      <w:r w:rsidRPr="00070981">
        <w:t xml:space="preserve"> - Q</w:t>
      </w:r>
      <w:r w:rsidRPr="00070981">
        <w:rPr>
          <w:vertAlign w:val="subscript"/>
        </w:rPr>
        <w:t>ACoA</w:t>
      </w:r>
      <w:r w:rsidRPr="00070981">
        <w:t>R</w:t>
      </w:r>
      <w:r w:rsidRPr="00070981">
        <w:rPr>
          <w:vertAlign w:val="subscript"/>
        </w:rPr>
        <w:t>ACoA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(A5)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LMC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LAC</w:t>
      </w:r>
      <w:r w:rsidRPr="00070981">
        <w:rPr>
          <w:vertAlign w:val="superscript"/>
        </w:rPr>
        <w:t>r</w:t>
      </w:r>
      <w:r w:rsidRPr="00070981">
        <w:t xml:space="preserve"> + Q</w:t>
      </w:r>
      <w:r w:rsidRPr="00070981">
        <w:rPr>
          <w:vertAlign w:val="subscript"/>
        </w:rPr>
        <w:t>LACA1</w:t>
      </w:r>
      <w:r w:rsidRPr="00070981">
        <w:t>R</w:t>
      </w:r>
      <w:r w:rsidRPr="00070981">
        <w:rPr>
          <w:vertAlign w:val="subscript"/>
        </w:rPr>
        <w:t>LACA1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(A6)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LOP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LMC</w:t>
      </w:r>
      <w:r w:rsidRPr="00070981">
        <w:rPr>
          <w:vertAlign w:val="superscript"/>
        </w:rPr>
        <w:t>r</w:t>
      </w:r>
      <w:r w:rsidRPr="00070981">
        <w:t xml:space="preserve"> + Q</w:t>
      </w:r>
      <w:r w:rsidRPr="00070981">
        <w:rPr>
          <w:vertAlign w:val="subscript"/>
        </w:rPr>
        <w:t>LICA2</w:t>
      </w:r>
      <w:r w:rsidRPr="00070981">
        <w:t>R</w:t>
      </w:r>
      <w:r w:rsidRPr="00070981">
        <w:rPr>
          <w:vertAlign w:val="subscript"/>
        </w:rPr>
        <w:t>LICA2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(A7)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LEC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LOP</w:t>
      </w:r>
      <w:r w:rsidRPr="00070981">
        <w:rPr>
          <w:vertAlign w:val="superscript"/>
        </w:rPr>
        <w:t>r</w:t>
      </w:r>
      <w:r w:rsidRPr="00070981">
        <w:t xml:space="preserve"> + Q</w:t>
      </w:r>
      <w:r w:rsidRPr="00070981">
        <w:rPr>
          <w:vertAlign w:val="subscript"/>
        </w:rPr>
        <w:t>LICA1</w:t>
      </w:r>
      <w:r w:rsidRPr="00070981">
        <w:t>R</w:t>
      </w:r>
      <w:r w:rsidRPr="00070981">
        <w:rPr>
          <w:vertAlign w:val="subscript"/>
        </w:rPr>
        <w:t>LICA1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(A8)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ICE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aortic</w:t>
      </w:r>
      <w:r w:rsidRPr="00070981">
        <w:t xml:space="preserve"> – P</w:t>
      </w:r>
      <w:r w:rsidRPr="00070981">
        <w:rPr>
          <w:vertAlign w:val="subscript"/>
        </w:rPr>
        <w:t>venous</w:t>
      </w:r>
      <w:r w:rsidRPr="00070981">
        <w:t xml:space="preserve"> – Q</w:t>
      </w:r>
      <w:r w:rsidRPr="00070981">
        <w:rPr>
          <w:vertAlign w:val="subscript"/>
        </w:rPr>
        <w:t>RVA</w:t>
      </w:r>
      <w:r w:rsidRPr="00070981">
        <w:t>R</w:t>
      </w:r>
      <w:r w:rsidRPr="00070981">
        <w:rPr>
          <w:vertAlign w:val="subscript"/>
        </w:rPr>
        <w:t>RVA</w:t>
      </w:r>
      <w:r w:rsidRPr="00070981">
        <w:t xml:space="preserve"> – Q</w:t>
      </w:r>
      <w:r w:rsidRPr="00070981">
        <w:rPr>
          <w:vertAlign w:val="subscript"/>
        </w:rPr>
        <w:t>BAI</w:t>
      </w:r>
      <w:r w:rsidRPr="00070981">
        <w:t>R</w:t>
      </w:r>
      <w:r w:rsidRPr="00070981">
        <w:rPr>
          <w:vertAlign w:val="subscript"/>
        </w:rPr>
        <w:t>BAI</w:t>
      </w:r>
      <w:r w:rsidRPr="00070981">
        <w:tab/>
      </w:r>
      <w:r w:rsidRPr="00070981">
        <w:tab/>
      </w:r>
      <w:r w:rsidRPr="00070981">
        <w:tab/>
      </w:r>
      <w:r w:rsidRPr="00070981">
        <w:tab/>
        <w:t>(A9)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SCE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ICE</w:t>
      </w:r>
      <w:r w:rsidRPr="00070981">
        <w:rPr>
          <w:vertAlign w:val="superscript"/>
        </w:rPr>
        <w:t>r</w:t>
      </w:r>
      <w:r w:rsidRPr="00070981">
        <w:t xml:space="preserve"> – Q</w:t>
      </w:r>
      <w:r w:rsidRPr="00070981">
        <w:rPr>
          <w:vertAlign w:val="subscript"/>
        </w:rPr>
        <w:t>BA</w:t>
      </w:r>
      <w:r w:rsidRPr="00070981">
        <w:t>R</w:t>
      </w:r>
      <w:r w:rsidRPr="00070981">
        <w:rPr>
          <w:vertAlign w:val="subscript"/>
        </w:rPr>
        <w:t>BA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(A10)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LPC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SCE</w:t>
      </w:r>
      <w:r w:rsidRPr="00070981">
        <w:rPr>
          <w:vertAlign w:val="superscript"/>
        </w:rPr>
        <w:t>r</w:t>
      </w:r>
      <w:r w:rsidRPr="00070981">
        <w:t xml:space="preserve"> – Q</w:t>
      </w:r>
      <w:r w:rsidRPr="00070981">
        <w:rPr>
          <w:vertAlign w:val="subscript"/>
        </w:rPr>
        <w:t>BAS</w:t>
      </w:r>
      <w:r w:rsidRPr="00070981">
        <w:t>R</w:t>
      </w:r>
      <w:r w:rsidRPr="00070981">
        <w:rPr>
          <w:vertAlign w:val="subscript"/>
        </w:rPr>
        <w:t>BAS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(A11)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RPC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LPC</w:t>
      </w:r>
      <w:r w:rsidRPr="00070981">
        <w:rPr>
          <w:vertAlign w:val="superscript"/>
        </w:rPr>
        <w:t>r</w:t>
      </w:r>
      <w:r w:rsidRPr="00070981">
        <w:t xml:space="preserve"> – Q</w:t>
      </w:r>
      <w:r w:rsidRPr="00070981">
        <w:rPr>
          <w:vertAlign w:val="subscript"/>
        </w:rPr>
        <w:t>RPCA1</w:t>
      </w:r>
      <w:r w:rsidRPr="00070981">
        <w:t>R</w:t>
      </w:r>
      <w:r w:rsidRPr="00070981">
        <w:rPr>
          <w:vertAlign w:val="subscript"/>
        </w:rPr>
        <w:t>RPCA1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(A12)</w:t>
      </w:r>
    </w:p>
    <w:p w:rsidR="00E84E46" w:rsidRDefault="00E84E46" w:rsidP="002C6EAA">
      <w:pPr>
        <w:adjustRightInd w:val="0"/>
        <w:snapToGrid w:val="0"/>
      </w:pPr>
      <w:r w:rsidRPr="00070981">
        <w:rPr>
          <w:b/>
        </w:rPr>
        <w:br w:type="page"/>
      </w:r>
    </w:p>
    <w:p w:rsidR="00A97FDF" w:rsidRDefault="00A97FDF"/>
    <w:sectPr w:rsidR="00A97FDF" w:rsidSect="003715AB">
      <w:foot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44D" w:rsidRDefault="0093144D" w:rsidP="002B70CB">
      <w:r>
        <w:separator/>
      </w:r>
    </w:p>
  </w:endnote>
  <w:endnote w:type="continuationSeparator" w:id="1">
    <w:p w:rsidR="0093144D" w:rsidRDefault="0093144D" w:rsidP="002B7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97D" w:rsidRDefault="0093144D" w:rsidP="00415BF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44D" w:rsidRDefault="0093144D" w:rsidP="002B70CB">
      <w:r>
        <w:separator/>
      </w:r>
    </w:p>
  </w:footnote>
  <w:footnote w:type="continuationSeparator" w:id="1">
    <w:p w:rsidR="0093144D" w:rsidRDefault="0093144D" w:rsidP="002B70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4E46"/>
    <w:rsid w:val="002B70CB"/>
    <w:rsid w:val="002C6EAA"/>
    <w:rsid w:val="0093144D"/>
    <w:rsid w:val="00A97FDF"/>
    <w:rsid w:val="00E8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4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E4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Robin Wei</cp:lastModifiedBy>
  <cp:revision>2</cp:revision>
  <dcterms:created xsi:type="dcterms:W3CDTF">2021-07-01T21:01:00Z</dcterms:created>
  <dcterms:modified xsi:type="dcterms:W3CDTF">2021-07-11T08:14:00Z</dcterms:modified>
</cp:coreProperties>
</file>