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C5" w:rsidRPr="00996AF7" w:rsidRDefault="000D22C5" w:rsidP="000D22C5">
      <w:pPr>
        <w:adjustRightInd w:val="0"/>
        <w:snapToGrid w:val="0"/>
        <w:spacing w:line="240" w:lineRule="auto"/>
        <w:rPr>
          <w:rFonts w:ascii="Times New Roman" w:eastAsia="Times New Roman" w:hAnsi="Times New Roman" w:cs="Times New Roman"/>
          <w:sz w:val="24"/>
          <w:szCs w:val="24"/>
        </w:rPr>
      </w:pPr>
      <w:bookmarkStart w:id="0" w:name="_Hlk176551403"/>
      <w:r w:rsidRPr="002F7101">
        <w:rPr>
          <w:rFonts w:ascii="Times New Roman" w:eastAsia="Times New Roman" w:hAnsi="Times New Roman" w:cs="Times New Roman"/>
          <w:b/>
          <w:bCs/>
          <w:sz w:val="24"/>
          <w:szCs w:val="24"/>
        </w:rPr>
        <w:t>Suppl 7.</w:t>
      </w:r>
      <w:r w:rsidRPr="002F7101">
        <w:rPr>
          <w:rFonts w:ascii="Times New Roman" w:eastAsia="Times New Roman" w:hAnsi="Times New Roman" w:cs="Times New Roman"/>
          <w:sz w:val="24"/>
          <w:szCs w:val="24"/>
        </w:rPr>
        <w:t xml:space="preserve"> Principal component analysis of the Discovery </w:t>
      </w:r>
      <w:r>
        <w:rPr>
          <w:rFonts w:ascii="Times New Roman" w:eastAsia="Times New Roman" w:hAnsi="Times New Roman" w:cs="Times New Roman"/>
          <w:sz w:val="24"/>
          <w:szCs w:val="24"/>
        </w:rPr>
        <w:t>c</w:t>
      </w:r>
      <w:r w:rsidRPr="002F7101">
        <w:rPr>
          <w:rFonts w:ascii="Times New Roman" w:eastAsia="Times New Roman" w:hAnsi="Times New Roman" w:cs="Times New Roman"/>
          <w:sz w:val="24"/>
          <w:szCs w:val="24"/>
        </w:rPr>
        <w:t>ohort (n=179) based on traits determined to contribute most significantly to the PPMI Cohort.</w:t>
      </w:r>
      <w:r>
        <w:rPr>
          <w:rFonts w:ascii="Times New Roman" w:eastAsia="Times New Roman" w:hAnsi="Times New Roman" w:cs="Times New Roman"/>
          <w:sz w:val="24"/>
          <w:szCs w:val="24"/>
        </w:rPr>
        <w:t xml:space="preserve"> </w:t>
      </w:r>
      <w:r w:rsidRPr="00F05E2E">
        <w:rPr>
          <w:rFonts w:ascii="Times New Roman" w:eastAsia="Times New Roman" w:hAnsi="Times New Roman" w:cs="Times New Roman"/>
          <w:sz w:val="24"/>
          <w:szCs w:val="24"/>
        </w:rPr>
        <w:t>(A) Scatter plot depicting separation of subjects across the first two principal components. (B) Heatmap of clinical characteristics for each cluster identified. Greater red hue indicates greater prevalence, greater blue hue indicates lower prevalence.</w:t>
      </w:r>
    </w:p>
    <w:bookmarkEnd w:id="0"/>
    <w:p w:rsidR="000D22C5" w:rsidRPr="00996AF7" w:rsidRDefault="000D22C5" w:rsidP="000D22C5">
      <w:pPr>
        <w:adjustRightInd w:val="0"/>
        <w:snapToGrid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996AF7">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w:t>
      </w:r>
    </w:p>
    <w:p w:rsidR="000D22C5" w:rsidRPr="00996AF7" w:rsidRDefault="000D22C5" w:rsidP="000D22C5">
      <w:pPr>
        <w:adjustRightInd w:val="0"/>
        <w:snapToGrid w:val="0"/>
        <w:spacing w:line="240" w:lineRule="auto"/>
        <w:rPr>
          <w:rFonts w:ascii="Times New Roman" w:eastAsia="Times New Roman" w:hAnsi="Times New Roman" w:cs="Times New Roman"/>
          <w:b/>
          <w:sz w:val="24"/>
          <w:szCs w:val="24"/>
          <w:highlight w:val="yellow"/>
        </w:rPr>
      </w:pPr>
      <w:r w:rsidRPr="00996AF7">
        <w:rPr>
          <w:rFonts w:ascii="Times New Roman" w:eastAsia="Times New Roman" w:hAnsi="Times New Roman" w:cs="Times New Roman"/>
          <w:b/>
          <w:noProof/>
          <w:sz w:val="24"/>
          <w:szCs w:val="24"/>
          <w:lang w:val="en-US"/>
        </w:rPr>
        <w:drawing>
          <wp:inline distT="0" distB="0" distL="0" distR="0">
            <wp:extent cx="3261360" cy="2212771"/>
            <wp:effectExtent l="0" t="0" r="2540" b="0"/>
            <wp:docPr id="1879659047" name="Picture 2"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59047" name="Picture 2" descr="A diagram of a graph&#10;&#10;Description automatically generated with medium confidence"/>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76192" cy="2222834"/>
                    </a:xfrm>
                    <a:prstGeom prst="rect">
                      <a:avLst/>
                    </a:prstGeom>
                  </pic:spPr>
                </pic:pic>
              </a:graphicData>
            </a:graphic>
          </wp:inline>
        </w:drawing>
      </w:r>
    </w:p>
    <w:p w:rsidR="000D22C5" w:rsidRPr="00996AF7" w:rsidRDefault="000D22C5" w:rsidP="000D22C5">
      <w:pPr>
        <w:adjustRightInd w:val="0"/>
        <w:snapToGrid w:val="0"/>
        <w:spacing w:line="240" w:lineRule="auto"/>
        <w:rPr>
          <w:rFonts w:ascii="Times New Roman" w:eastAsia="Times New Roman" w:hAnsi="Times New Roman" w:cs="Times New Roman"/>
          <w:b/>
          <w:sz w:val="24"/>
          <w:szCs w:val="24"/>
          <w:highlight w:val="yellow"/>
        </w:rPr>
      </w:pPr>
    </w:p>
    <w:p w:rsidR="000D22C5" w:rsidRPr="00996AF7" w:rsidRDefault="000D22C5" w:rsidP="000D22C5">
      <w:pPr>
        <w:adjustRightInd w:val="0"/>
        <w:snapToGri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996AF7">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w:t>
      </w:r>
    </w:p>
    <w:p w:rsidR="000D22C5" w:rsidRPr="00996AF7" w:rsidRDefault="000D22C5" w:rsidP="000D22C5">
      <w:pPr>
        <w:adjustRightInd w:val="0"/>
        <w:snapToGrid w:val="0"/>
        <w:spacing w:line="240" w:lineRule="auto"/>
        <w:rPr>
          <w:rFonts w:ascii="Times New Roman" w:eastAsia="Times New Roman" w:hAnsi="Times New Roman" w:cs="Times New Roman"/>
          <w:b/>
          <w:sz w:val="24"/>
          <w:szCs w:val="24"/>
          <w:highlight w:val="yellow"/>
        </w:rPr>
      </w:pPr>
      <w:r w:rsidRPr="00996AF7">
        <w:rPr>
          <w:rFonts w:ascii="Times New Roman" w:eastAsia="Times New Roman" w:hAnsi="Times New Roman" w:cs="Times New Roman"/>
          <w:b/>
          <w:noProof/>
          <w:sz w:val="24"/>
          <w:szCs w:val="24"/>
          <w:lang w:val="en-US"/>
        </w:rPr>
        <w:drawing>
          <wp:inline distT="0" distB="0" distL="0" distR="0">
            <wp:extent cx="3413760" cy="2389267"/>
            <wp:effectExtent l="0" t="0" r="2540" b="0"/>
            <wp:docPr id="563341693" name="Picture 1" descr="A chart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41693" name="Picture 1" descr="A chart of different colors&#10;&#10;Description automatically generated"/>
                    <pic:cNvPicPr/>
                  </pic:nvPicPr>
                  <pic:blipFill>
                    <a:blip r:embed="rId5" cstate="print"/>
                    <a:stretch>
                      <a:fillRect/>
                    </a:stretch>
                  </pic:blipFill>
                  <pic:spPr>
                    <a:xfrm>
                      <a:off x="0" y="0"/>
                      <a:ext cx="3442854" cy="2409629"/>
                    </a:xfrm>
                    <a:prstGeom prst="rect">
                      <a:avLst/>
                    </a:prstGeom>
                  </pic:spPr>
                </pic:pic>
              </a:graphicData>
            </a:graphic>
          </wp:inline>
        </w:drawing>
      </w:r>
    </w:p>
    <w:p w:rsidR="000D22C5" w:rsidRDefault="000D22C5" w:rsidP="000D22C5">
      <w:pPr>
        <w:adjustRightInd w:val="0"/>
        <w:snapToGrid w:val="0"/>
        <w:spacing w:line="240" w:lineRule="auto"/>
        <w:rPr>
          <w:rFonts w:ascii="Times New Roman" w:eastAsia="Times New Roman" w:hAnsi="Times New Roman" w:cs="Times New Roman"/>
          <w:bCs/>
          <w:sz w:val="24"/>
          <w:szCs w:val="24"/>
        </w:rPr>
      </w:pPr>
      <w:r w:rsidRPr="002F7101">
        <w:rPr>
          <w:rFonts w:ascii="Times New Roman" w:eastAsia="Times New Roman" w:hAnsi="Times New Roman" w:cs="Times New Roman"/>
          <w:bCs/>
          <w:sz w:val="24"/>
          <w:szCs w:val="24"/>
        </w:rPr>
        <w:t>Greater red hue indicates greater prevalence, greater blue hue indicates lower prevalence. Traits with a statistically significant difference between clusters, defined as bonferroni corrected P &lt; 0.05, are indicated with an asterix (*).</w:t>
      </w:r>
    </w:p>
    <w:p w:rsidR="000D22C5" w:rsidRDefault="000D22C5" w:rsidP="000D22C5">
      <w:pPr>
        <w:adjustRightInd w:val="0"/>
        <w:snapToGrid w:val="0"/>
        <w:spacing w:line="240" w:lineRule="auto"/>
        <w:rPr>
          <w:rFonts w:ascii="Times New Roman" w:eastAsia="Times New Roman" w:hAnsi="Times New Roman" w:cs="Times New Roman"/>
          <w:bCs/>
          <w:sz w:val="24"/>
          <w:szCs w:val="24"/>
        </w:rPr>
      </w:pPr>
    </w:p>
    <w:p w:rsidR="0016756F" w:rsidRDefault="000D22C5"/>
    <w:sectPr w:rsidR="0016756F" w:rsidSect="009112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useFELayout/>
  </w:compat>
  <w:rsids>
    <w:rsidRoot w:val="000D22C5"/>
    <w:rsid w:val="000D22C5"/>
    <w:rsid w:val="001C3DEE"/>
    <w:rsid w:val="00331F01"/>
    <w:rsid w:val="009112AA"/>
    <w:rsid w:val="00971EB2"/>
    <w:rsid w:val="00A32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2C5"/>
    <w:pPr>
      <w:spacing w:after="0"/>
    </w:pPr>
    <w:rPr>
      <w:rFonts w:ascii="Arial" w:eastAsiaTheme="minorEastAsia"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2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2C5"/>
    <w:rPr>
      <w:rFonts w:ascii="Tahoma" w:eastAsiaTheme="minorEastAsia"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Wei</dc:creator>
  <cp:lastModifiedBy>Robin Wei</cp:lastModifiedBy>
  <cp:revision>1</cp:revision>
  <dcterms:created xsi:type="dcterms:W3CDTF">2024-09-17T22:35:00Z</dcterms:created>
  <dcterms:modified xsi:type="dcterms:W3CDTF">2024-09-17T22:35:00Z</dcterms:modified>
</cp:coreProperties>
</file>