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A31" w:rsidRPr="00996AF7" w:rsidRDefault="002D1A31" w:rsidP="002D1A31">
      <w:pPr>
        <w:adjustRightInd w:val="0"/>
        <w:snapToGrid w:val="0"/>
        <w:spacing w:line="240" w:lineRule="auto"/>
        <w:rPr>
          <w:rFonts w:ascii="Times New Roman" w:eastAsia="Times New Roman" w:hAnsi="Times New Roman" w:cs="Times New Roman"/>
          <w:sz w:val="24"/>
          <w:szCs w:val="24"/>
        </w:rPr>
      </w:pPr>
      <w:bookmarkStart w:id="0" w:name="_Hlk176551419"/>
      <w:r w:rsidRPr="00F05E2E">
        <w:rPr>
          <w:rFonts w:ascii="Times New Roman" w:eastAsia="Times New Roman" w:hAnsi="Times New Roman" w:cs="Times New Roman"/>
          <w:b/>
          <w:sz w:val="24"/>
          <w:szCs w:val="24"/>
        </w:rPr>
        <w:t>Suppl 8.</w:t>
      </w:r>
      <w:r w:rsidRPr="00F05E2E">
        <w:rPr>
          <w:rFonts w:ascii="Times New Roman" w:eastAsia="Times New Roman" w:hAnsi="Times New Roman" w:cs="Times New Roman"/>
          <w:bCs/>
          <w:sz w:val="24"/>
          <w:szCs w:val="24"/>
        </w:rPr>
        <w:t xml:space="preserve"> Comparison of demographic and clinical characteristics of the two clusters from the Discovery Cohort after repeated cluster analysis using only the traits that drove clustering in the PPMI Cohort.</w:t>
      </w:r>
    </w:p>
    <w:bookmarkEnd w:id="0"/>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7"/>
        <w:gridCol w:w="1593"/>
        <w:gridCol w:w="1593"/>
        <w:gridCol w:w="1543"/>
        <w:gridCol w:w="1351"/>
      </w:tblGrid>
      <w:tr w:rsidR="002D1A31" w:rsidRPr="006D7BE6" w:rsidTr="003766DA">
        <w:trPr>
          <w:trHeight w:val="320"/>
        </w:trPr>
        <w:tc>
          <w:tcPr>
            <w:tcW w:w="3197" w:type="dxa"/>
            <w:shd w:val="clear" w:color="auto" w:fill="auto"/>
            <w:noWrap/>
            <w:vAlign w:val="bottom"/>
            <w:hideMark/>
          </w:tcPr>
          <w:p w:rsidR="002D1A31" w:rsidRPr="006D7BE6" w:rsidRDefault="002D1A31" w:rsidP="003766DA">
            <w:pPr>
              <w:adjustRightInd w:val="0"/>
              <w:snapToGrid w:val="0"/>
              <w:spacing w:line="240" w:lineRule="auto"/>
              <w:rPr>
                <w:rFonts w:ascii="Times New Roman" w:hAnsi="Times New Roman" w:cs="Times New Roman"/>
                <w:b/>
                <w:bCs/>
                <w:sz w:val="24"/>
                <w:szCs w:val="24"/>
              </w:rPr>
            </w:pPr>
          </w:p>
        </w:tc>
        <w:tc>
          <w:tcPr>
            <w:tcW w:w="1593" w:type="dxa"/>
            <w:shd w:val="clear" w:color="auto" w:fill="auto"/>
            <w:noWrap/>
            <w:vAlign w:val="bottom"/>
            <w:hideMark/>
          </w:tcPr>
          <w:p w:rsidR="002D1A31" w:rsidRPr="006D7BE6" w:rsidRDefault="002D1A31" w:rsidP="003766DA">
            <w:pPr>
              <w:adjustRightInd w:val="0"/>
              <w:snapToGrid w:val="0"/>
              <w:spacing w:line="240" w:lineRule="auto"/>
              <w:rPr>
                <w:rFonts w:ascii="Times New Roman" w:hAnsi="Times New Roman" w:cs="Times New Roman"/>
                <w:b/>
                <w:bCs/>
                <w:sz w:val="24"/>
                <w:szCs w:val="24"/>
              </w:rPr>
            </w:pPr>
            <w:r w:rsidRPr="006D7BE6">
              <w:rPr>
                <w:rFonts w:ascii="Times New Roman" w:hAnsi="Times New Roman" w:cs="Times New Roman"/>
                <w:b/>
                <w:bCs/>
                <w:sz w:val="24"/>
                <w:szCs w:val="24"/>
              </w:rPr>
              <w:t>Cluster 1 (n=98)</w:t>
            </w:r>
          </w:p>
        </w:tc>
        <w:tc>
          <w:tcPr>
            <w:tcW w:w="1593" w:type="dxa"/>
            <w:shd w:val="clear" w:color="auto" w:fill="auto"/>
            <w:noWrap/>
            <w:vAlign w:val="bottom"/>
            <w:hideMark/>
          </w:tcPr>
          <w:p w:rsidR="002D1A31" w:rsidRPr="006D7BE6" w:rsidRDefault="002D1A31" w:rsidP="003766DA">
            <w:pPr>
              <w:adjustRightInd w:val="0"/>
              <w:snapToGrid w:val="0"/>
              <w:spacing w:line="240" w:lineRule="auto"/>
              <w:rPr>
                <w:rFonts w:ascii="Times New Roman" w:hAnsi="Times New Roman" w:cs="Times New Roman"/>
                <w:b/>
                <w:bCs/>
                <w:sz w:val="24"/>
                <w:szCs w:val="24"/>
              </w:rPr>
            </w:pPr>
            <w:r w:rsidRPr="006D7BE6">
              <w:rPr>
                <w:rFonts w:ascii="Times New Roman" w:hAnsi="Times New Roman" w:cs="Times New Roman"/>
                <w:b/>
                <w:bCs/>
                <w:sz w:val="24"/>
                <w:szCs w:val="24"/>
              </w:rPr>
              <w:t>Cluster 2 (n=81)</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b/>
                <w:bCs/>
                <w:sz w:val="24"/>
                <w:szCs w:val="24"/>
              </w:rPr>
            </w:pPr>
            <w:r w:rsidRPr="006D7BE6">
              <w:rPr>
                <w:rFonts w:ascii="Times New Roman" w:hAnsi="Times New Roman" w:cs="Times New Roman"/>
                <w:b/>
                <w:bCs/>
                <w:sz w:val="24"/>
                <w:szCs w:val="24"/>
              </w:rPr>
              <w:t>Uncorrected p value</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b/>
                <w:bCs/>
                <w:sz w:val="24"/>
                <w:szCs w:val="24"/>
              </w:rPr>
            </w:pPr>
            <w:r w:rsidRPr="006D7BE6">
              <w:rPr>
                <w:rFonts w:ascii="Times New Roman" w:hAnsi="Times New Roman" w:cs="Times New Roman"/>
                <w:b/>
                <w:bCs/>
                <w:sz w:val="24"/>
                <w:szCs w:val="24"/>
              </w:rPr>
              <w:t>Bonferroni</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t xml:space="preserve">Gender * </w:t>
            </w:r>
            <w:r w:rsidRPr="006D7BE6">
              <w:t>count (percent)</w:t>
            </w:r>
          </w:p>
        </w:tc>
        <w:tc>
          <w:tcPr>
            <w:tcW w:w="1593" w:type="dxa"/>
            <w:shd w:val="clear" w:color="auto" w:fill="auto"/>
            <w:noWrap/>
            <w:vAlign w:val="bottom"/>
          </w:tcPr>
          <w:p w:rsidR="002D1A31" w:rsidRPr="006D7BE6" w:rsidRDefault="002D1A31" w:rsidP="003766DA">
            <w:pPr>
              <w:pStyle w:val="NormalWeb"/>
              <w:adjustRightInd w:val="0"/>
              <w:snapToGrid w:val="0"/>
            </w:pPr>
            <w:r w:rsidRPr="006D7BE6">
              <w:t>M: 68 (69%)</w:t>
            </w:r>
          </w:p>
          <w:p w:rsidR="002D1A31" w:rsidRPr="006D7BE6" w:rsidRDefault="002D1A31" w:rsidP="003766DA">
            <w:pPr>
              <w:pStyle w:val="NormalWeb"/>
              <w:adjustRightInd w:val="0"/>
              <w:snapToGrid w:val="0"/>
            </w:pPr>
            <w:r w:rsidRPr="006D7BE6">
              <w:t>F: 30 (31%)</w:t>
            </w:r>
          </w:p>
        </w:tc>
        <w:tc>
          <w:tcPr>
            <w:tcW w:w="1593" w:type="dxa"/>
            <w:shd w:val="clear" w:color="auto" w:fill="auto"/>
            <w:noWrap/>
            <w:vAlign w:val="bottom"/>
          </w:tcPr>
          <w:p w:rsidR="002D1A31" w:rsidRPr="006D7BE6" w:rsidRDefault="002D1A31" w:rsidP="003766DA">
            <w:pPr>
              <w:pStyle w:val="NormalWeb"/>
              <w:adjustRightInd w:val="0"/>
              <w:snapToGrid w:val="0"/>
            </w:pPr>
            <w:r w:rsidRPr="006D7BE6">
              <w:t>M: 45 (56%)</w:t>
            </w:r>
          </w:p>
          <w:p w:rsidR="002D1A31" w:rsidRPr="006D7BE6" w:rsidRDefault="002D1A31" w:rsidP="003766DA">
            <w:pPr>
              <w:pStyle w:val="NormalWeb"/>
              <w:adjustRightInd w:val="0"/>
              <w:snapToGrid w:val="0"/>
            </w:pPr>
            <w:r w:rsidRPr="006D7BE6">
              <w:t>F: 36 (44%)</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0.376</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tcPr>
          <w:p w:rsidR="002D1A31" w:rsidRPr="006D7BE6" w:rsidRDefault="002D1A31" w:rsidP="003766DA">
            <w:pPr>
              <w:pStyle w:val="NormalWeb"/>
              <w:adjustRightInd w:val="0"/>
              <w:snapToGrid w:val="0"/>
            </w:pPr>
            <w:r w:rsidRPr="006D7BE6">
              <w:rPr>
                <w:b/>
                <w:bCs/>
              </w:rPr>
              <w:t xml:space="preserve">Age at Diagnosis (year)  </w:t>
            </w:r>
            <w:r w:rsidRPr="006D7BE6">
              <w:rPr>
                <w:b/>
                <w:bCs/>
                <w:vertAlign w:val="superscript"/>
              </w:rPr>
              <w:t>t</w:t>
            </w:r>
            <w:r w:rsidRPr="006D7BE6">
              <w:rPr>
                <w:b/>
                <w:bCs/>
              </w:rPr>
              <w:t xml:space="preserve">* </w:t>
            </w:r>
            <w:r w:rsidRPr="006D7BE6">
              <w:t>(mean ± SD)</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59.0±9.7</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61.0±8.9</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0.1687</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t xml:space="preserve">Disease Duration (year) </w:t>
            </w:r>
            <w:r w:rsidRPr="006D7BE6">
              <w:rPr>
                <w:b/>
                <w:bCs/>
                <w:vertAlign w:val="superscript"/>
              </w:rPr>
              <w:t>W</w:t>
            </w:r>
            <w:r w:rsidRPr="006D7BE6">
              <w:rPr>
                <w:b/>
                <w:bCs/>
              </w:rPr>
              <w:t xml:space="preserve">* </w:t>
            </w:r>
            <w:r w:rsidRPr="006D7BE6">
              <w:t>(mean ± SD)</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8.4± 5.1</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9.3± 5.2</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0.158</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t>+</w:t>
            </w:r>
            <w:r w:rsidRPr="006D7BE6">
              <w:rPr>
                <w:b/>
                <w:bCs/>
                <w:i/>
                <w:iCs/>
              </w:rPr>
              <w:t>GBA</w:t>
            </w:r>
            <w:r w:rsidRPr="006D7BE6">
              <w:rPr>
                <w:b/>
                <w:bCs/>
              </w:rPr>
              <w:t xml:space="preserve"> Mutation </w:t>
            </w:r>
            <w:r w:rsidRPr="006D7BE6">
              <w:t>count (percent)</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17 (17%)</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11 (14%)</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0.479</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t xml:space="preserve">TD * </w:t>
            </w:r>
            <w:r w:rsidRPr="006D7BE6">
              <w:t>count (percent) </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39 (40%)</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21 (26%)</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0.724</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t xml:space="preserve">PIGD </w:t>
            </w:r>
            <w:r w:rsidRPr="006D7BE6">
              <w:t>count (percent) </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31 (32%)</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25 (31%)</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0.660</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tcPr>
          <w:p w:rsidR="002D1A31" w:rsidRPr="006D7BE6" w:rsidRDefault="002D1A31" w:rsidP="003766DA">
            <w:pPr>
              <w:pStyle w:val="NormalWeb"/>
              <w:adjustRightInd w:val="0"/>
              <w:snapToGrid w:val="0"/>
            </w:pPr>
            <w:r w:rsidRPr="006D7BE6">
              <w:rPr>
                <w:b/>
                <w:bCs/>
              </w:rPr>
              <w:t xml:space="preserve">Hoehn &amp; Yahr Scale </w:t>
            </w:r>
            <w:r w:rsidRPr="006D7BE6">
              <w:t>(count)</w:t>
            </w:r>
          </w:p>
        </w:tc>
        <w:tc>
          <w:tcPr>
            <w:tcW w:w="1593" w:type="dxa"/>
            <w:shd w:val="clear" w:color="auto" w:fill="auto"/>
            <w:noWrap/>
          </w:tcPr>
          <w:p w:rsidR="002D1A31" w:rsidRPr="006D7BE6" w:rsidRDefault="002D1A31" w:rsidP="003766DA">
            <w:pPr>
              <w:pStyle w:val="NormalWeb"/>
              <w:adjustRightInd w:val="0"/>
              <w:snapToGrid w:val="0"/>
            </w:pPr>
            <w:r w:rsidRPr="006D7BE6">
              <w:t>Score  Count</w:t>
            </w:r>
          </w:p>
          <w:p w:rsidR="002D1A31" w:rsidRPr="006D7BE6" w:rsidRDefault="002D1A31" w:rsidP="003766DA">
            <w:pPr>
              <w:pStyle w:val="NormalWeb"/>
              <w:adjustRightInd w:val="0"/>
              <w:snapToGrid w:val="0"/>
            </w:pPr>
            <w:r w:rsidRPr="006D7BE6">
              <w:t>1:      13</w:t>
            </w:r>
          </w:p>
          <w:p w:rsidR="002D1A31" w:rsidRPr="006D7BE6" w:rsidRDefault="002D1A31" w:rsidP="003766DA">
            <w:pPr>
              <w:pStyle w:val="NormalWeb"/>
              <w:adjustRightInd w:val="0"/>
              <w:snapToGrid w:val="0"/>
            </w:pPr>
            <w:r w:rsidRPr="006D7BE6">
              <w:t>1.5:    18</w:t>
            </w:r>
          </w:p>
          <w:p w:rsidR="002D1A31" w:rsidRPr="006D7BE6" w:rsidRDefault="002D1A31" w:rsidP="003766DA">
            <w:pPr>
              <w:pStyle w:val="NormalWeb"/>
              <w:adjustRightInd w:val="0"/>
              <w:snapToGrid w:val="0"/>
            </w:pPr>
            <w:r w:rsidRPr="006D7BE6">
              <w:t>2:       53</w:t>
            </w:r>
          </w:p>
          <w:p w:rsidR="002D1A31" w:rsidRPr="006D7BE6" w:rsidRDefault="002D1A31" w:rsidP="003766DA">
            <w:pPr>
              <w:pStyle w:val="NormalWeb"/>
              <w:adjustRightInd w:val="0"/>
              <w:snapToGrid w:val="0"/>
            </w:pPr>
            <w:r w:rsidRPr="006D7BE6">
              <w:t>2.5:    6</w:t>
            </w:r>
          </w:p>
          <w:p w:rsidR="002D1A31" w:rsidRPr="006D7BE6" w:rsidRDefault="002D1A31" w:rsidP="003766DA">
            <w:pPr>
              <w:pStyle w:val="NormalWeb"/>
              <w:adjustRightInd w:val="0"/>
              <w:snapToGrid w:val="0"/>
            </w:pPr>
            <w:r w:rsidRPr="006D7BE6">
              <w:t>3:       7</w:t>
            </w:r>
          </w:p>
          <w:p w:rsidR="002D1A31" w:rsidRPr="006D7BE6" w:rsidRDefault="002D1A31" w:rsidP="003766DA">
            <w:pPr>
              <w:pStyle w:val="NormalWeb"/>
              <w:adjustRightInd w:val="0"/>
              <w:snapToGrid w:val="0"/>
            </w:pPr>
            <w:r w:rsidRPr="006D7BE6">
              <w:t>4:       1</w:t>
            </w:r>
          </w:p>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5:       0</w:t>
            </w:r>
          </w:p>
          <w:p w:rsidR="002D1A31" w:rsidRPr="006D7BE6" w:rsidRDefault="002D1A31" w:rsidP="003766DA">
            <w:pPr>
              <w:adjustRightInd w:val="0"/>
              <w:snapToGrid w:val="0"/>
              <w:spacing w:line="240" w:lineRule="auto"/>
              <w:rPr>
                <w:rFonts w:ascii="Times New Roman" w:hAnsi="Times New Roman" w:cs="Times New Roman"/>
                <w:sz w:val="24"/>
                <w:szCs w:val="24"/>
              </w:rPr>
            </w:pPr>
          </w:p>
          <w:p w:rsidR="002D1A31" w:rsidRPr="006D7BE6" w:rsidRDefault="002D1A31" w:rsidP="003766DA">
            <w:pPr>
              <w:adjustRightInd w:val="0"/>
              <w:snapToGrid w:val="0"/>
              <w:spacing w:line="240" w:lineRule="auto"/>
              <w:rPr>
                <w:rFonts w:ascii="Times New Roman" w:hAnsi="Times New Roman" w:cs="Times New Roman"/>
                <w:sz w:val="24"/>
                <w:szCs w:val="24"/>
              </w:rPr>
            </w:pPr>
          </w:p>
        </w:tc>
        <w:tc>
          <w:tcPr>
            <w:tcW w:w="1593" w:type="dxa"/>
            <w:shd w:val="clear" w:color="auto" w:fill="auto"/>
            <w:noWrap/>
          </w:tcPr>
          <w:p w:rsidR="002D1A31" w:rsidRPr="006D7BE6" w:rsidRDefault="002D1A31" w:rsidP="003766DA">
            <w:pPr>
              <w:pStyle w:val="NormalWeb"/>
              <w:adjustRightInd w:val="0"/>
              <w:snapToGrid w:val="0"/>
            </w:pPr>
            <w:r w:rsidRPr="006D7BE6">
              <w:t>Score  Count</w:t>
            </w:r>
          </w:p>
          <w:p w:rsidR="002D1A31" w:rsidRPr="006D7BE6" w:rsidRDefault="002D1A31" w:rsidP="003766DA">
            <w:pPr>
              <w:pStyle w:val="NormalWeb"/>
              <w:adjustRightInd w:val="0"/>
              <w:snapToGrid w:val="0"/>
            </w:pPr>
            <w:r w:rsidRPr="006D7BE6">
              <w:t>1:    11</w:t>
            </w:r>
          </w:p>
          <w:p w:rsidR="002D1A31" w:rsidRPr="006D7BE6" w:rsidRDefault="002D1A31" w:rsidP="003766DA">
            <w:pPr>
              <w:pStyle w:val="NormalWeb"/>
              <w:adjustRightInd w:val="0"/>
              <w:snapToGrid w:val="0"/>
            </w:pPr>
            <w:r w:rsidRPr="006D7BE6">
              <w:t>1.5:  8</w:t>
            </w:r>
          </w:p>
          <w:p w:rsidR="002D1A31" w:rsidRPr="006D7BE6" w:rsidRDefault="002D1A31" w:rsidP="003766DA">
            <w:pPr>
              <w:pStyle w:val="NormalWeb"/>
              <w:adjustRightInd w:val="0"/>
              <w:snapToGrid w:val="0"/>
            </w:pPr>
            <w:r w:rsidRPr="006D7BE6">
              <w:t>2:     43</w:t>
            </w:r>
          </w:p>
          <w:p w:rsidR="002D1A31" w:rsidRPr="006D7BE6" w:rsidRDefault="002D1A31" w:rsidP="003766DA">
            <w:pPr>
              <w:pStyle w:val="NormalWeb"/>
              <w:adjustRightInd w:val="0"/>
              <w:snapToGrid w:val="0"/>
            </w:pPr>
            <w:r w:rsidRPr="006D7BE6">
              <w:t>2.5:    8</w:t>
            </w:r>
          </w:p>
          <w:p w:rsidR="002D1A31" w:rsidRPr="006D7BE6" w:rsidRDefault="002D1A31" w:rsidP="003766DA">
            <w:pPr>
              <w:pStyle w:val="NormalWeb"/>
              <w:adjustRightInd w:val="0"/>
              <w:snapToGrid w:val="0"/>
            </w:pPr>
            <w:r w:rsidRPr="006D7BE6">
              <w:t>3:     8</w:t>
            </w:r>
          </w:p>
          <w:p w:rsidR="002D1A31" w:rsidRPr="006D7BE6" w:rsidRDefault="002D1A31" w:rsidP="003766DA">
            <w:pPr>
              <w:pStyle w:val="NormalWeb"/>
              <w:adjustRightInd w:val="0"/>
              <w:snapToGrid w:val="0"/>
            </w:pPr>
            <w:r w:rsidRPr="006D7BE6">
              <w:t>4:      2</w:t>
            </w:r>
          </w:p>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5  :    1</w:t>
            </w:r>
          </w:p>
          <w:p w:rsidR="002D1A31" w:rsidRPr="006D7BE6" w:rsidRDefault="002D1A31" w:rsidP="003766DA">
            <w:pPr>
              <w:adjustRightInd w:val="0"/>
              <w:snapToGrid w:val="0"/>
              <w:spacing w:line="240" w:lineRule="auto"/>
              <w:rPr>
                <w:rFonts w:ascii="Times New Roman" w:hAnsi="Times New Roman" w:cs="Times New Roman"/>
                <w:sz w:val="24"/>
                <w:szCs w:val="24"/>
              </w:rPr>
            </w:pPr>
          </w:p>
          <w:p w:rsidR="002D1A31" w:rsidRPr="006D7BE6" w:rsidRDefault="002D1A31" w:rsidP="003766DA">
            <w:pPr>
              <w:adjustRightInd w:val="0"/>
              <w:snapToGrid w:val="0"/>
              <w:spacing w:line="240" w:lineRule="auto"/>
              <w:rPr>
                <w:rFonts w:ascii="Times New Roman" w:hAnsi="Times New Roman" w:cs="Times New Roman"/>
                <w:sz w:val="24"/>
                <w:szCs w:val="24"/>
              </w:rPr>
            </w:pP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0.775</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t xml:space="preserve">Wearing Off </w:t>
            </w:r>
            <w:r w:rsidRPr="006D7BE6">
              <w:t>count (percent)</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33 (34%)</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36 (44%)</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0.53</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t xml:space="preserve">Dyskinesias  </w:t>
            </w:r>
            <w:r w:rsidRPr="006D7BE6">
              <w:t>count (percent)</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28 (29%)</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31 (38%)</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0.088</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t xml:space="preserve">Freezing of Gait </w:t>
            </w:r>
            <w:r w:rsidRPr="006D7BE6">
              <w:t>count (percent)</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26 (27%)</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29 (36%)</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0.573</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t>Depression *</w:t>
            </w:r>
            <w:r w:rsidRPr="006D7BE6">
              <w:t xml:space="preserve"> count (percent)</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22 (22%)</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61 (75%)</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0.001</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0.022</w:t>
            </w:r>
          </w:p>
        </w:tc>
      </w:tr>
      <w:tr w:rsidR="002D1A31" w:rsidRPr="006D7BE6" w:rsidTr="003766DA">
        <w:trPr>
          <w:trHeight w:val="320"/>
        </w:trPr>
        <w:tc>
          <w:tcPr>
            <w:tcW w:w="3197" w:type="dxa"/>
            <w:shd w:val="clear" w:color="auto" w:fill="auto"/>
            <w:noWrap/>
            <w:vAlign w:val="bottom"/>
            <w:hideMark/>
          </w:tcPr>
          <w:p w:rsidR="002D1A31" w:rsidRPr="006D7BE6" w:rsidRDefault="002D1A31" w:rsidP="003766DA">
            <w:pPr>
              <w:pStyle w:val="NormalWeb"/>
              <w:adjustRightInd w:val="0"/>
              <w:snapToGrid w:val="0"/>
            </w:pPr>
            <w:r w:rsidRPr="006D7BE6">
              <w:rPr>
                <w:b/>
                <w:bCs/>
              </w:rPr>
              <w:t>Anxiety *</w:t>
            </w:r>
            <w:r w:rsidRPr="006D7BE6">
              <w:t xml:space="preserve"> count (percent)</w:t>
            </w:r>
          </w:p>
        </w:tc>
        <w:tc>
          <w:tcPr>
            <w:tcW w:w="1593" w:type="dxa"/>
            <w:shd w:val="clear" w:color="auto" w:fill="auto"/>
            <w:noWrap/>
            <w:vAlign w:val="bottom"/>
            <w:hideMark/>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 (0%)</w:t>
            </w:r>
          </w:p>
        </w:tc>
        <w:tc>
          <w:tcPr>
            <w:tcW w:w="1593" w:type="dxa"/>
            <w:shd w:val="clear" w:color="auto" w:fill="auto"/>
            <w:noWrap/>
            <w:vAlign w:val="bottom"/>
            <w:hideMark/>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80 (99%)</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&lt;0.001</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t xml:space="preserve">Hallucinations </w:t>
            </w:r>
            <w:r w:rsidRPr="006D7BE6">
              <w:t>count (percent)</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8 (8%)</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19 (23%)</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0.413</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t>Cognitive Impairment*</w:t>
            </w:r>
            <w:r w:rsidRPr="006D7BE6">
              <w:t xml:space="preserve"> count (percent)</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3 (3%)</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3 (4%)</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0.562</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t>Orthostatic Hypotension *</w:t>
            </w:r>
            <w:r w:rsidRPr="006D7BE6">
              <w:t xml:space="preserve"> count (percent)</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28 (29%)</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37 (46%)</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0.281</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lastRenderedPageBreak/>
              <w:t>Constipation *</w:t>
            </w:r>
            <w:r w:rsidRPr="006D7BE6">
              <w:t xml:space="preserve"> count (percent)</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57 (58%)</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60 (74%)</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0.569</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t>Urinary Symptoms *</w:t>
            </w:r>
            <w:r w:rsidRPr="006D7BE6">
              <w:t xml:space="preserve"> count (percent)</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44 (45%)</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32 (40%)</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0.24</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tcPr>
          <w:p w:rsidR="002D1A31" w:rsidRPr="006D7BE6" w:rsidRDefault="002D1A31" w:rsidP="003766DA">
            <w:pPr>
              <w:pStyle w:val="NormalWeb"/>
              <w:adjustRightInd w:val="0"/>
              <w:snapToGrid w:val="0"/>
            </w:pPr>
            <w:r w:rsidRPr="006D7BE6">
              <w:rPr>
                <w:b/>
                <w:bCs/>
              </w:rPr>
              <w:t>RBD *</w:t>
            </w:r>
            <w:r w:rsidRPr="006D7BE6">
              <w:t xml:space="preserve"> count (percent)</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41 (42%)</w:t>
            </w:r>
          </w:p>
        </w:tc>
        <w:tc>
          <w:tcPr>
            <w:tcW w:w="1593" w:type="dxa"/>
            <w:shd w:val="clear" w:color="auto" w:fill="auto"/>
            <w:noWrap/>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37 (46%)</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0.687</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hideMark/>
          </w:tcPr>
          <w:p w:rsidR="002D1A31" w:rsidRPr="006D7BE6" w:rsidRDefault="002D1A31" w:rsidP="003766DA">
            <w:pPr>
              <w:pStyle w:val="NormalWeb"/>
              <w:adjustRightInd w:val="0"/>
              <w:snapToGrid w:val="0"/>
            </w:pPr>
            <w:r w:rsidRPr="006D7BE6">
              <w:rPr>
                <w:b/>
                <w:bCs/>
              </w:rPr>
              <w:t xml:space="preserve">Aspirin </w:t>
            </w:r>
            <w:r w:rsidRPr="006D7BE6">
              <w:t>count (percent)</w:t>
            </w:r>
          </w:p>
        </w:tc>
        <w:tc>
          <w:tcPr>
            <w:tcW w:w="1593" w:type="dxa"/>
            <w:shd w:val="clear" w:color="auto" w:fill="auto"/>
            <w:noWrap/>
            <w:vAlign w:val="bottom"/>
            <w:hideMark/>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20 (20%)</w:t>
            </w:r>
          </w:p>
        </w:tc>
        <w:tc>
          <w:tcPr>
            <w:tcW w:w="1593" w:type="dxa"/>
            <w:shd w:val="clear" w:color="auto" w:fill="auto"/>
            <w:noWrap/>
            <w:vAlign w:val="bottom"/>
            <w:hideMark/>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19 (23%)</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0.542</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hideMark/>
          </w:tcPr>
          <w:p w:rsidR="002D1A31" w:rsidRPr="006D7BE6" w:rsidRDefault="002D1A31" w:rsidP="003766DA">
            <w:pPr>
              <w:pStyle w:val="NormalWeb"/>
              <w:adjustRightInd w:val="0"/>
              <w:snapToGrid w:val="0"/>
            </w:pPr>
            <w:r w:rsidRPr="006D7BE6">
              <w:rPr>
                <w:b/>
                <w:bCs/>
              </w:rPr>
              <w:t xml:space="preserve">Dopaminergic Agent </w:t>
            </w:r>
            <w:r w:rsidRPr="006D7BE6">
              <w:t>count (percent)</w:t>
            </w:r>
          </w:p>
        </w:tc>
        <w:tc>
          <w:tcPr>
            <w:tcW w:w="1593" w:type="dxa"/>
            <w:shd w:val="clear" w:color="auto" w:fill="auto"/>
            <w:noWrap/>
            <w:vAlign w:val="bottom"/>
            <w:hideMark/>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78 (80%)</w:t>
            </w:r>
          </w:p>
        </w:tc>
        <w:tc>
          <w:tcPr>
            <w:tcW w:w="1593" w:type="dxa"/>
            <w:shd w:val="clear" w:color="auto" w:fill="auto"/>
            <w:noWrap/>
            <w:vAlign w:val="bottom"/>
            <w:hideMark/>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70 (86%)</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0.574</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r w:rsidR="002D1A31" w:rsidRPr="006D7BE6" w:rsidTr="003766DA">
        <w:trPr>
          <w:trHeight w:val="320"/>
        </w:trPr>
        <w:tc>
          <w:tcPr>
            <w:tcW w:w="3197" w:type="dxa"/>
            <w:shd w:val="clear" w:color="auto" w:fill="auto"/>
            <w:noWrap/>
            <w:vAlign w:val="bottom"/>
            <w:hideMark/>
          </w:tcPr>
          <w:p w:rsidR="002D1A31" w:rsidRPr="006D7BE6" w:rsidRDefault="002D1A31" w:rsidP="003766DA">
            <w:pPr>
              <w:pStyle w:val="NormalWeb"/>
              <w:adjustRightInd w:val="0"/>
              <w:snapToGrid w:val="0"/>
            </w:pPr>
            <w:r w:rsidRPr="006D7BE6">
              <w:rPr>
                <w:b/>
                <w:bCs/>
              </w:rPr>
              <w:t xml:space="preserve">MAOi </w:t>
            </w:r>
            <w:r w:rsidRPr="006D7BE6">
              <w:t>count (percent)</w:t>
            </w:r>
          </w:p>
        </w:tc>
        <w:tc>
          <w:tcPr>
            <w:tcW w:w="1593" w:type="dxa"/>
            <w:shd w:val="clear" w:color="auto" w:fill="auto"/>
            <w:noWrap/>
            <w:vAlign w:val="bottom"/>
            <w:hideMark/>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22 (22%)</w:t>
            </w:r>
          </w:p>
        </w:tc>
        <w:tc>
          <w:tcPr>
            <w:tcW w:w="1593" w:type="dxa"/>
            <w:shd w:val="clear" w:color="auto" w:fill="auto"/>
            <w:noWrap/>
            <w:vAlign w:val="bottom"/>
            <w:hideMark/>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10 (12%)</w:t>
            </w:r>
          </w:p>
        </w:tc>
        <w:tc>
          <w:tcPr>
            <w:tcW w:w="1543"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0.553</w:t>
            </w:r>
          </w:p>
        </w:tc>
        <w:tc>
          <w:tcPr>
            <w:tcW w:w="1351" w:type="dxa"/>
            <w:vAlign w:val="bottom"/>
          </w:tcPr>
          <w:p w:rsidR="002D1A31" w:rsidRPr="006D7BE6" w:rsidRDefault="002D1A31" w:rsidP="003766DA">
            <w:pPr>
              <w:adjustRightInd w:val="0"/>
              <w:snapToGrid w:val="0"/>
              <w:spacing w:line="240" w:lineRule="auto"/>
              <w:rPr>
                <w:rFonts w:ascii="Times New Roman" w:hAnsi="Times New Roman" w:cs="Times New Roman"/>
                <w:sz w:val="24"/>
                <w:szCs w:val="24"/>
              </w:rPr>
            </w:pPr>
            <w:r w:rsidRPr="006D7BE6">
              <w:rPr>
                <w:rFonts w:ascii="Times New Roman" w:hAnsi="Times New Roman" w:cs="Times New Roman"/>
                <w:sz w:val="24"/>
                <w:szCs w:val="24"/>
              </w:rPr>
              <w:t>1</w:t>
            </w:r>
          </w:p>
        </w:tc>
      </w:tr>
    </w:tbl>
    <w:p w:rsidR="002D1A31" w:rsidRPr="00F05E2E" w:rsidRDefault="002D1A31" w:rsidP="002D1A31">
      <w:pPr>
        <w:pStyle w:val="Heading4"/>
        <w:adjustRightInd w:val="0"/>
        <w:snapToGrid w:val="0"/>
        <w:spacing w:before="0" w:after="0" w:line="240" w:lineRule="auto"/>
        <w:rPr>
          <w:rFonts w:ascii="Times New Roman" w:hAnsi="Times New Roman" w:cs="Times New Roman"/>
          <w:i w:val="0"/>
          <w:iCs w:val="0"/>
          <w:color w:val="auto"/>
          <w:sz w:val="24"/>
          <w:szCs w:val="24"/>
        </w:rPr>
      </w:pPr>
      <w:r w:rsidRPr="00F05E2E">
        <w:rPr>
          <w:rFonts w:ascii="Times New Roman" w:hAnsi="Times New Roman" w:cs="Times New Roman"/>
          <w:i w:val="0"/>
          <w:iCs w:val="0"/>
          <w:color w:val="auto"/>
          <w:sz w:val="24"/>
          <w:szCs w:val="24"/>
        </w:rPr>
        <w:t>Uncorrected and Bonferoni corrected p-values are also shown (traits with P &lt; 0.05 were considered to be significantly different between the two clusters) from chi-square analysis, unless otherwise specified (t: unpaired t-test, W: Wilcoxon test). (*) indicate variables that were collected in both the PPMI and Discovery Cohorts. The other traits were determined by chart review (MSMD subset) or by interview (NYU subset). Tremor Dominant (TD) and Postural Instability and Gait Disorder (PGID) phenotypes were defined based on Movement Disorder Society-Unified Parkinson’s disease rating scale (MD-UPDRS) score [13]. F: female; M: male; MAOi: monoamine oxidase inhibitor; RBD: REM sleep Behavior Disorder.</w:t>
      </w:r>
    </w:p>
    <w:p w:rsidR="002D1A31" w:rsidRPr="00996AF7" w:rsidRDefault="002D1A31" w:rsidP="002D1A31">
      <w:pPr>
        <w:pStyle w:val="Heading4"/>
        <w:keepNext w:val="0"/>
        <w:keepLines w:val="0"/>
        <w:adjustRightInd w:val="0"/>
        <w:snapToGrid w:val="0"/>
        <w:spacing w:before="0" w:after="0" w:line="240" w:lineRule="auto"/>
        <w:rPr>
          <w:rFonts w:ascii="Times New Roman" w:hAnsi="Times New Roman" w:cs="Times New Roman"/>
          <w:color w:val="FF0000"/>
          <w:sz w:val="24"/>
          <w:szCs w:val="24"/>
        </w:rPr>
      </w:pPr>
    </w:p>
    <w:p w:rsidR="002D1A31" w:rsidRPr="00996AF7" w:rsidRDefault="002D1A31" w:rsidP="002D1A31">
      <w:pPr>
        <w:adjustRightInd w:val="0"/>
        <w:snapToGrid w:val="0"/>
        <w:spacing w:line="240" w:lineRule="auto"/>
        <w:rPr>
          <w:rFonts w:ascii="Times New Roman" w:hAnsi="Times New Roman" w:cs="Times New Roman"/>
          <w:sz w:val="24"/>
          <w:szCs w:val="24"/>
        </w:rPr>
      </w:pPr>
    </w:p>
    <w:p w:rsidR="002D1A31" w:rsidRPr="00996AF7" w:rsidRDefault="002D1A31" w:rsidP="002D1A31">
      <w:pPr>
        <w:adjustRightInd w:val="0"/>
        <w:snapToGrid w:val="0"/>
        <w:spacing w:line="240" w:lineRule="auto"/>
        <w:rPr>
          <w:rFonts w:ascii="Times New Roman" w:hAnsi="Times New Roman" w:cs="Times New Roman"/>
          <w:sz w:val="24"/>
          <w:szCs w:val="24"/>
        </w:rPr>
      </w:pPr>
    </w:p>
    <w:p w:rsidR="002D1A31" w:rsidRPr="00996AF7" w:rsidRDefault="002D1A31" w:rsidP="002D1A31">
      <w:pPr>
        <w:adjustRightInd w:val="0"/>
        <w:snapToGrid w:val="0"/>
        <w:spacing w:line="240" w:lineRule="auto"/>
        <w:rPr>
          <w:rFonts w:ascii="Times New Roman" w:hAnsi="Times New Roman" w:cs="Times New Roman"/>
          <w:sz w:val="24"/>
          <w:szCs w:val="24"/>
        </w:rPr>
      </w:pPr>
    </w:p>
    <w:p w:rsidR="002D1A31" w:rsidRPr="00996AF7" w:rsidRDefault="002D1A31" w:rsidP="002D1A31">
      <w:pPr>
        <w:adjustRightInd w:val="0"/>
        <w:snapToGrid w:val="0"/>
        <w:spacing w:line="240" w:lineRule="auto"/>
        <w:rPr>
          <w:rFonts w:ascii="Times New Roman" w:hAnsi="Times New Roman" w:cs="Times New Roman"/>
          <w:sz w:val="24"/>
          <w:szCs w:val="24"/>
        </w:rPr>
      </w:pPr>
    </w:p>
    <w:p w:rsidR="0016756F" w:rsidRDefault="002D1A31"/>
    <w:sectPr w:rsidR="0016756F" w:rsidSect="009112A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20"/>
  <w:characterSpacingControl w:val="doNotCompress"/>
  <w:compat>
    <w:useFELayout/>
  </w:compat>
  <w:rsids>
    <w:rsidRoot w:val="002D1A31"/>
    <w:rsid w:val="001C3DEE"/>
    <w:rsid w:val="002D1A31"/>
    <w:rsid w:val="00331F01"/>
    <w:rsid w:val="009112AA"/>
    <w:rsid w:val="00971EB2"/>
    <w:rsid w:val="00A32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A31"/>
    <w:pPr>
      <w:spacing w:after="0"/>
    </w:pPr>
    <w:rPr>
      <w:rFonts w:ascii="Arial" w:eastAsiaTheme="minorEastAsia" w:hAnsi="Arial" w:cs="Arial"/>
      <w:lang/>
    </w:rPr>
  </w:style>
  <w:style w:type="paragraph" w:styleId="Heading4">
    <w:name w:val="heading 4"/>
    <w:basedOn w:val="Normal"/>
    <w:next w:val="Normal"/>
    <w:link w:val="Heading4Char"/>
    <w:uiPriority w:val="9"/>
    <w:unhideWhenUsed/>
    <w:qFormat/>
    <w:rsid w:val="002D1A31"/>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D1A31"/>
    <w:rPr>
      <w:rFonts w:ascii="Arial" w:eastAsiaTheme="majorEastAsia" w:hAnsi="Arial" w:cstheme="majorBidi"/>
      <w:i/>
      <w:iCs/>
      <w:color w:val="365F91" w:themeColor="accent1" w:themeShade="BF"/>
      <w:lang/>
    </w:rPr>
  </w:style>
  <w:style w:type="paragraph" w:styleId="NormalWeb">
    <w:name w:val="Normal (Web)"/>
    <w:basedOn w:val="Normal"/>
    <w:uiPriority w:val="99"/>
    <w:unhideWhenUsed/>
    <w:rsid w:val="002D1A3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Wei</dc:creator>
  <cp:lastModifiedBy>Robin Wei</cp:lastModifiedBy>
  <cp:revision>1</cp:revision>
  <dcterms:created xsi:type="dcterms:W3CDTF">2024-09-17T22:35:00Z</dcterms:created>
  <dcterms:modified xsi:type="dcterms:W3CDTF">2024-09-17T22:35:00Z</dcterms:modified>
</cp:coreProperties>
</file>